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7F" w:rsidRPr="00CD1C7F" w:rsidRDefault="00CD1C7F" w:rsidP="00CD1C7F">
      <w:pPr>
        <w:snapToGrid w:val="0"/>
        <w:jc w:val="center"/>
        <w:rPr>
          <w:rFonts w:ascii="方正小标宋简体" w:eastAsia="方正小标宋简体" w:hAnsi="宋体" w:cs="宋体"/>
          <w:color w:val="000000"/>
          <w:kern w:val="0"/>
          <w:sz w:val="44"/>
          <w:szCs w:val="44"/>
        </w:rPr>
      </w:pPr>
      <w:r w:rsidRPr="00CD1C7F">
        <w:rPr>
          <w:rFonts w:ascii="方正小标宋简体" w:eastAsia="方正小标宋简体" w:hAnsi="宋体" w:cs="宋体" w:hint="eastAsia"/>
          <w:color w:val="000000"/>
          <w:kern w:val="0"/>
          <w:sz w:val="44"/>
          <w:szCs w:val="44"/>
        </w:rPr>
        <w:t>202</w:t>
      </w:r>
      <w:r w:rsidRPr="00CD1C7F">
        <w:rPr>
          <w:rFonts w:ascii="方正小标宋简体" w:eastAsia="方正小标宋简体" w:hAnsi="宋体" w:cs="宋体"/>
          <w:color w:val="000000"/>
          <w:kern w:val="0"/>
          <w:sz w:val="44"/>
          <w:szCs w:val="44"/>
        </w:rPr>
        <w:t>2</w:t>
      </w:r>
      <w:r w:rsidRPr="00CD1C7F">
        <w:rPr>
          <w:rFonts w:ascii="方正小标宋简体" w:eastAsia="方正小标宋简体" w:hAnsi="宋体" w:cs="宋体" w:hint="eastAsia"/>
          <w:color w:val="000000"/>
          <w:kern w:val="0"/>
          <w:sz w:val="44"/>
          <w:szCs w:val="44"/>
        </w:rPr>
        <w:t>年度浙江省哲学社会科学重点研究</w:t>
      </w:r>
    </w:p>
    <w:p w:rsidR="00CD1C7F" w:rsidRPr="00CD1C7F" w:rsidRDefault="00CD1C7F" w:rsidP="00CD1C7F">
      <w:pPr>
        <w:snapToGrid w:val="0"/>
        <w:jc w:val="center"/>
        <w:rPr>
          <w:rFonts w:ascii="方正小标宋简体" w:eastAsia="方正小标宋简体" w:hAnsi="宋体" w:cs="宋体"/>
          <w:color w:val="000000"/>
          <w:kern w:val="0"/>
          <w:sz w:val="44"/>
          <w:szCs w:val="44"/>
        </w:rPr>
      </w:pPr>
      <w:r w:rsidRPr="00CD1C7F">
        <w:rPr>
          <w:rFonts w:ascii="方正小标宋简体" w:eastAsia="方正小标宋简体" w:hAnsi="宋体" w:cs="宋体" w:hint="eastAsia"/>
          <w:color w:val="000000"/>
          <w:kern w:val="0"/>
          <w:sz w:val="44"/>
          <w:szCs w:val="44"/>
        </w:rPr>
        <w:t>基地课题立项名单</w:t>
      </w:r>
    </w:p>
    <w:p w:rsidR="00CD1C7F" w:rsidRPr="00CD1C7F" w:rsidRDefault="00CD1C7F" w:rsidP="00CD1C7F">
      <w:pPr>
        <w:snapToGrid w:val="0"/>
        <w:rPr>
          <w:rFonts w:ascii="方正小标宋简体" w:eastAsia="方正小标宋简体" w:hAnsi="宋体" w:cs="宋体"/>
          <w:color w:val="000000"/>
          <w:kern w:val="0"/>
          <w:szCs w:val="21"/>
        </w:rPr>
      </w:pPr>
    </w:p>
    <w:p w:rsidR="00CD1C7F" w:rsidRPr="00CD1C7F" w:rsidRDefault="00CD1C7F" w:rsidP="00CD1C7F">
      <w:pPr>
        <w:snapToGrid w:val="0"/>
        <w:rPr>
          <w:rFonts w:ascii="黑体" w:eastAsia="黑体" w:hAnsi="黑体" w:cs="宋体"/>
          <w:color w:val="000000"/>
          <w:kern w:val="0"/>
          <w:sz w:val="28"/>
          <w:szCs w:val="28"/>
        </w:rPr>
      </w:pPr>
      <w:r w:rsidRPr="00CD1C7F">
        <w:rPr>
          <w:rFonts w:ascii="黑体" w:eastAsia="黑体" w:hAnsi="黑体" w:cs="宋体" w:hint="eastAsia"/>
          <w:color w:val="000000"/>
          <w:kern w:val="0"/>
          <w:sz w:val="28"/>
          <w:szCs w:val="28"/>
        </w:rPr>
        <w:t>一</w:t>
      </w:r>
      <w:r w:rsidRPr="00CD1C7F">
        <w:rPr>
          <w:rFonts w:ascii="黑体" w:eastAsia="黑体" w:hAnsi="黑体" w:cs="宋体"/>
          <w:color w:val="000000"/>
          <w:kern w:val="0"/>
          <w:sz w:val="28"/>
          <w:szCs w:val="28"/>
        </w:rPr>
        <w:t>、重点课题</w:t>
      </w:r>
    </w:p>
    <w:tbl>
      <w:tblPr>
        <w:tblW w:w="9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2580"/>
        <w:gridCol w:w="992"/>
        <w:gridCol w:w="1248"/>
        <w:gridCol w:w="992"/>
        <w:gridCol w:w="1985"/>
      </w:tblGrid>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课题编号</w:t>
            </w:r>
          </w:p>
        </w:tc>
        <w:tc>
          <w:tcPr>
            <w:tcW w:w="2580" w:type="dxa"/>
            <w:shd w:val="clear" w:color="auto" w:fill="auto"/>
            <w:vAlign w:val="center"/>
            <w:hideMark/>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课题名称</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负责人</w:t>
            </w:r>
          </w:p>
        </w:tc>
        <w:tc>
          <w:tcPr>
            <w:tcW w:w="1248" w:type="dxa"/>
            <w:shd w:val="clear" w:color="auto" w:fill="auto"/>
            <w:vAlign w:val="center"/>
            <w:hideMark/>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所在单位</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预期成果形式</w:t>
            </w:r>
          </w:p>
        </w:tc>
        <w:tc>
          <w:tcPr>
            <w:tcW w:w="1985" w:type="dxa"/>
            <w:shd w:val="clear" w:color="auto" w:fill="auto"/>
            <w:vAlign w:val="center"/>
            <w:hideMark/>
          </w:tcPr>
          <w:p w:rsidR="00CD1C7F" w:rsidRPr="00CD1C7F" w:rsidRDefault="00CD1C7F" w:rsidP="00CD1C7F">
            <w:pPr>
              <w:widowControl/>
              <w:spacing w:line="300" w:lineRule="exact"/>
              <w:jc w:val="center"/>
              <w:rPr>
                <w:rFonts w:ascii="仿宋" w:hAnsi="仿宋" w:cs="宋体"/>
                <w:b/>
                <w:bCs/>
                <w:color w:val="000000"/>
                <w:kern w:val="0"/>
                <w:sz w:val="24"/>
              </w:rPr>
            </w:pPr>
            <w:r w:rsidRPr="00CD1C7F">
              <w:rPr>
                <w:rFonts w:ascii="仿宋" w:hAnsi="仿宋" w:cs="宋体" w:hint="eastAsia"/>
                <w:b/>
                <w:bCs/>
                <w:color w:val="000000"/>
                <w:kern w:val="0"/>
                <w:sz w:val="24"/>
              </w:rPr>
              <w:t>基地</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2022JDKTZD01</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基层政策执行与社会治理中的多元协同机制研究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王诗宗</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浙江大学民生保障与公共治理研究中心</w:t>
            </w:r>
            <w:r w:rsidRPr="00CD1C7F">
              <w:rPr>
                <w:rFonts w:ascii="仿宋" w:hAnsi="仿宋" w:cs="宋体" w:hint="eastAsia"/>
                <w:color w:val="000000"/>
                <w:kern w:val="0"/>
                <w:sz w:val="24"/>
              </w:rPr>
              <w:t xml:space="preserve">  </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2022JDKTZD02</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浙江共同富裕示范区建设的兜底保障机制研究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方</w:t>
            </w:r>
            <w:r w:rsidRPr="00CD1C7F">
              <w:rPr>
                <w:rFonts w:ascii="仿宋" w:hAnsi="仿宋" w:cs="宋体" w:hint="eastAsia"/>
                <w:color w:val="000000"/>
                <w:kern w:val="0"/>
                <w:sz w:val="24"/>
              </w:rPr>
              <w:t xml:space="preserve">  </w:t>
            </w:r>
            <w:r w:rsidRPr="00CD1C7F">
              <w:rPr>
                <w:rFonts w:ascii="仿宋" w:hAnsi="仿宋" w:cs="宋体" w:hint="eastAsia"/>
                <w:color w:val="000000"/>
                <w:kern w:val="0"/>
                <w:sz w:val="24"/>
              </w:rPr>
              <w:t>珂</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浙江大学民生保障与公共治理研究中心</w:t>
            </w:r>
            <w:r w:rsidRPr="00CD1C7F">
              <w:rPr>
                <w:rFonts w:ascii="仿宋" w:hAnsi="仿宋" w:cs="宋体" w:hint="eastAsia"/>
                <w:color w:val="000000"/>
                <w:kern w:val="0"/>
                <w:sz w:val="24"/>
              </w:rPr>
              <w:t xml:space="preserve">  </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2022JDKTZD03</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我国劳资关系的变迁机制与路径研究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赖普清</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浙江大学民生保障与公共治理研究中心</w:t>
            </w:r>
            <w:r w:rsidRPr="00CD1C7F">
              <w:rPr>
                <w:rFonts w:ascii="仿宋" w:hAnsi="仿宋" w:cs="宋体" w:hint="eastAsia"/>
                <w:color w:val="000000"/>
                <w:kern w:val="0"/>
                <w:sz w:val="24"/>
              </w:rPr>
              <w:t xml:space="preserve">  </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2022JDKTZD04</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《宋史》列传文本来源与生成过程研究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吴铮强</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浙江大学宋学研究中心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2022JDKTZD05</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南宋两浙路守御与治理问题研究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何天白</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浙江大学宋学研究中心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2022JDKTZD06</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江南茶文化史</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杨　昇</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浙江农林大学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浙江师范大学江南文化研究中心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2022JDKTZD07</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旅游符号视域下江南乡村文化资源景观化开发研究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林敏霞</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浙江师范大学江南文化研究中心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2022JDKTZD08</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清代两浙闺秀文人述考与研究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王美华</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浙江师范大学江南文化研究中心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2022JDKTZD09</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关于日本中世说话集中中国故事的整理与研究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刘潇雅</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2022JDKTZD10</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东亚视角下的官署志比较研究——以明朝、朝鲜李朝为例</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石　鹏</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宁波大学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2022JDKTZD11</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中日韩佛教外交的历史作用与当代意义</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尹　虎</w:t>
            </w:r>
          </w:p>
        </w:tc>
        <w:tc>
          <w:tcPr>
            <w:tcW w:w="1248" w:type="dxa"/>
            <w:shd w:val="clear" w:color="auto" w:fill="auto"/>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2022JDKTZD12</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住房财富效应对中国居民消费决策的影响：基于微观机制和行为实验的解释</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邹　静</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浙江财经大学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浙江财经大学经济行为与决策研究中心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2022JDKTZD13</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宗教暗示对个体亲社会行为影响机制研究：基</w:t>
            </w:r>
            <w:r w:rsidRPr="00CD1C7F">
              <w:rPr>
                <w:rFonts w:ascii="仿宋" w:hAnsi="仿宋" w:cs="宋体" w:hint="eastAsia"/>
                <w:color w:val="000000"/>
                <w:kern w:val="0"/>
                <w:sz w:val="24"/>
              </w:rPr>
              <w:lastRenderedPageBreak/>
              <w:t>于行为实验方法</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lastRenderedPageBreak/>
              <w:t>夏巍巍</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浙江财经大学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浙江财经大学经济行为与决策研</w:t>
            </w:r>
            <w:r w:rsidRPr="00CD1C7F">
              <w:rPr>
                <w:rFonts w:ascii="仿宋" w:hAnsi="仿宋" w:cs="宋体" w:hint="eastAsia"/>
                <w:color w:val="000000"/>
                <w:kern w:val="0"/>
                <w:sz w:val="24"/>
              </w:rPr>
              <w:lastRenderedPageBreak/>
              <w:t>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lastRenderedPageBreak/>
              <w:t>2022JDKTZD14</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浙江婺剧传抄本整理与研究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聂付生</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温州大学浙江传统戏曲研究与传承中心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2022JDKTZD15</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西湖文化与“白蛇传”戏曲文本流变研究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徐　晨</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浙江传媒学院</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温州大学浙江传统戏曲研究与传承中心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2022JDKTZD16</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加快浙江数字自由贸易试验区建设研究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陈航宇</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浙江省区域经济开放与发展研究中心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2022JDKTZD17</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浙学研究当代化视阈内的王元骧美学思想</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郑玉明</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浙江工业大学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浙江工业大学浙江学术文化研究中心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2022JDKTZD18</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基于思想史视角的“兰亭论辨”及《兰亭序》文本真伪问题辨正</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洪开荣</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云浮市岭南社会人文科学研究有限公司</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浙江工业大学浙江学术文化研究中心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2022JDKTZD19</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杭州亚运美学的多维建构研究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王　弋</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中国美术学院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中国美术学院艺术哲学与文化创新研究院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2022JDKTZD20</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明代浙东学术史</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贾庆军</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宁波大学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著作</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宁波大学浙东文化研究院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2022JDKTZD21</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清代浙江的对日交往与长崎通事研究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许海华</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宁波大学浙东文化研究院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2022JDKTZD22</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17-18</w:t>
            </w:r>
            <w:r w:rsidRPr="00CD1C7F">
              <w:rPr>
                <w:rFonts w:ascii="仿宋" w:hAnsi="仿宋" w:cs="宋体" w:hint="eastAsia"/>
                <w:color w:val="000000"/>
                <w:kern w:val="0"/>
                <w:sz w:val="24"/>
              </w:rPr>
              <w:t>世纪中国丝绸文化的欧洲传播研究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王泰迪</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浙江理工大学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浙江理工大学浙江省丝绸与时尚文化研究中心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2022JDKTZD23</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浙江省时尚产业生态系统构建与竞争力提升研究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张　庆</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浙江理工大学浙江省丝绸与时尚文化研究中心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2022JDKTZD24</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浙江宋韵文化城市品牌建设模型及评价指标体系研究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周　烨</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浙大城市学院</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专著、论文、研究</w:t>
            </w:r>
          </w:p>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报告</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浙江省委党校文化发展创新与文化浙江建设研究中心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2022JDKTZD25</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类型学视域下优秀农耕文化的活态传承与保护研究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陈　晨</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杭州科技职业技术学院</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浙江省委党校文化发展创新与文化浙江建设研究中心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2022JDKTZD26</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海外及港澳台浙江研究论著目录</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于英红</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浙江省社会科学院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浙江省社会科学院浙学研究中心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lastRenderedPageBreak/>
              <w:t>2022JDKTZD27</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楼钥家世、思想及生平交游研究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楼胆群</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浙江财经大学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浙江省社会科学院浙学研究中心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2022JDKTZD28</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研究生学术创业能力评价和提升机制研究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陈　凡</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温州医科大学中国创新创业教育研究院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2022JDKTZD29</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共同富裕理念下高校创新创业教育的理论与实践研究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薛玉香</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温州大学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温州医科大学中国创新创业教育研究院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2022JDKTZD30</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苏轼绘画理论在英语学界的翻译与研究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吉玲娟</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杭州师范大学文艺批评研究院</w:t>
            </w:r>
            <w:r w:rsidRPr="00CD1C7F">
              <w:rPr>
                <w:rFonts w:ascii="仿宋" w:hAnsi="仿宋" w:cs="宋体" w:hint="eastAsia"/>
                <w:color w:val="000000"/>
                <w:kern w:val="0"/>
                <w:sz w:val="24"/>
              </w:rPr>
              <w:t xml:space="preserve">  </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2022JDKTZD31</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中国文人画的美育精神研究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朱　璟</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杭州师范大学文艺批评研究院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2022JDKTZD32</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鲁迅在台港澳暨海外华人圈的百年接受研究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古大勇</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绍兴文理学院</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绍兴文理学院浙江省越文化传承与创新研究中心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2022JDKTZD33</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大众文化视野中的王阳明形象研究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余　丹</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浙江万里学院</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绍兴文理学院浙江省越文化传承与创新研究中心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2022JDKTZD34</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马克思主义在中国早期传播的欧洲渠道研究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解　丽</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嘉兴学院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嘉兴学院浙江省中国共产党创建史研究中心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2022JDKTZD35</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中国共产党伟大建党精神形成史料搜集与整理</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冯彦娟</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嘉兴学院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嘉兴学院浙江省中国共产党创建史研究中心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2022JDKTZD36</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儿童图画书与优秀传统文化的创造性转化研究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朱利民</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浙江师范大学</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浙江师范大学儿童文学研究中心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2022JDKTZD37</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中国儿童文学在韩国的翻译与传播研究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窦全霞</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浙江师范大学儿童文学研究中心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2022JDKTZD38</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浙东抗日根据地红色音乐文化研究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董　伟</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浙江省民国浙江史研究中心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2022JDKTZD39</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戴季陶与马克思主义在中国的传播研究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金永鹏</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江西师范大学</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浙江省民国浙江史研究中心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2022JDKTZD40</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数智化赋能浙江省制造业供应链创新的机制与实现路径研究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周　岩</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浙江万里学院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宁波海上丝绸之路研究院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2022JDKTZD41</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数据赋能浙江省智能制造创新生态系统价值共创机制及实现路径研究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周廉东</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浙江万里学院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宁波海上丝绸之路研究院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2022JDKTZD42</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基于互联网平台的意识形态安全保障体系建构研究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李　欣</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浙江传媒学院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研究</w:t>
            </w:r>
          </w:p>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报告</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浙江省传播与文化产业研究中心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lastRenderedPageBreak/>
              <w:t>2022JDKTZD43</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浙江县域医养结合服务体系构建及治理机制研究：跨部门协同视角</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汪群龙</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浙江树人学院</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论文、研究报告</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浙江省现代服务业研究中心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2022JDKTZD44</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医养结合政策对全生命周期康养体系建设的作用研究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蔡菁菁</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浙江大学</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论文、研究报告</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浙江省现代服务业研究中心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2022JDKTZD45</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浙江省海洋碳汇价值实现政策体系研究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冯晓飞</w:t>
            </w:r>
          </w:p>
        </w:tc>
        <w:tc>
          <w:tcPr>
            <w:tcW w:w="1248"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浙江省生态环境科学设计研究院</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研究报告、论文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浙江理工大学浙江省生态文明研究院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2022JDKTZD46</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浙江省生态文化建设对策研究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宫　富</w:t>
            </w:r>
          </w:p>
        </w:tc>
        <w:tc>
          <w:tcPr>
            <w:tcW w:w="1248"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浙江理工大学</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研究报告、论文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浙江理工大学浙江省生态文明研究院</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2022JDKTZD47</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村社集体参与乡村建设行动的实施机制研究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刘传磊</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浙江农林大学</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专著、研究报告</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浙江省温州人经济研究中心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2022JDKTZD48</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数字化赋能温州制造业企业绿色发展及提升策略研究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罗　军</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温州大学</w:t>
            </w:r>
          </w:p>
        </w:tc>
        <w:tc>
          <w:tcPr>
            <w:tcW w:w="992"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论文、研究报告</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浙江省温州人经济研究中心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2022JDKTZD49</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类型教育视域下本科层次职业教育学士学位授予标准研究</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孙凤敏</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金华职业技术学院</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浙江省现代职业教育研究中心</w:t>
            </w:r>
          </w:p>
        </w:tc>
      </w:tr>
      <w:tr w:rsidR="00CD1C7F" w:rsidRPr="00CD1C7F" w:rsidTr="001179CC">
        <w:trPr>
          <w:trHeight w:val="624"/>
        </w:trPr>
        <w:tc>
          <w:tcPr>
            <w:tcW w:w="1243" w:type="dxa"/>
            <w:shd w:val="clear" w:color="auto" w:fill="auto"/>
            <w:vAlign w:val="center"/>
            <w:hideMark/>
          </w:tcPr>
          <w:p w:rsidR="00CD1C7F" w:rsidRPr="00CD1C7F" w:rsidRDefault="00CD1C7F" w:rsidP="00CD1C7F">
            <w:pPr>
              <w:widowControl/>
              <w:spacing w:line="300" w:lineRule="exact"/>
              <w:jc w:val="left"/>
              <w:rPr>
                <w:rFonts w:ascii="仿宋" w:hAnsi="仿宋" w:cs="宋体"/>
                <w:kern w:val="0"/>
                <w:sz w:val="24"/>
              </w:rPr>
            </w:pPr>
            <w:r w:rsidRPr="00CD1C7F">
              <w:rPr>
                <w:rFonts w:ascii="仿宋" w:hAnsi="仿宋" w:cs="宋体" w:hint="eastAsia"/>
                <w:kern w:val="0"/>
                <w:sz w:val="24"/>
              </w:rPr>
              <w:t>2022JDKTHQ01</w:t>
            </w:r>
          </w:p>
        </w:tc>
        <w:tc>
          <w:tcPr>
            <w:tcW w:w="2580" w:type="dxa"/>
            <w:shd w:val="clear" w:color="auto" w:fill="auto"/>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百年光芒：西方人眼中的中国共产党</w:t>
            </w:r>
          </w:p>
        </w:tc>
        <w:tc>
          <w:tcPr>
            <w:tcW w:w="992" w:type="dxa"/>
            <w:shd w:val="clear" w:color="auto" w:fill="auto"/>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李　涛</w:t>
            </w:r>
          </w:p>
        </w:tc>
        <w:tc>
          <w:tcPr>
            <w:tcW w:w="1248" w:type="dxa"/>
            <w:shd w:val="clear" w:color="auto" w:fill="auto"/>
            <w:noWrap/>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中共浙江省委党校</w:t>
            </w:r>
          </w:p>
        </w:tc>
        <w:tc>
          <w:tcPr>
            <w:tcW w:w="992" w:type="dxa"/>
            <w:shd w:val="clear" w:color="auto" w:fill="auto"/>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著作</w:t>
            </w:r>
          </w:p>
        </w:tc>
        <w:tc>
          <w:tcPr>
            <w:tcW w:w="1985" w:type="dxa"/>
            <w:shd w:val="clear" w:color="auto" w:fill="auto"/>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浙江省委党校文化发展创新与文化浙江建设研究中心</w:t>
            </w:r>
          </w:p>
        </w:tc>
      </w:tr>
    </w:tbl>
    <w:p w:rsidR="00CD1C7F" w:rsidRPr="00CD1C7F" w:rsidRDefault="00CD1C7F" w:rsidP="00CD1C7F">
      <w:pPr>
        <w:snapToGrid w:val="0"/>
        <w:rPr>
          <w:rFonts w:ascii="宋体" w:hAnsi="宋体"/>
          <w:szCs w:val="32"/>
        </w:rPr>
      </w:pPr>
    </w:p>
    <w:p w:rsidR="00CD1C7F" w:rsidRPr="00CD1C7F" w:rsidRDefault="00CD1C7F" w:rsidP="00CD1C7F">
      <w:pPr>
        <w:snapToGrid w:val="0"/>
        <w:rPr>
          <w:rFonts w:ascii="黑体" w:eastAsia="黑体" w:hAnsi="黑体" w:cs="宋体"/>
          <w:color w:val="000000"/>
          <w:kern w:val="0"/>
          <w:sz w:val="28"/>
          <w:szCs w:val="28"/>
        </w:rPr>
      </w:pPr>
      <w:r w:rsidRPr="00CD1C7F">
        <w:rPr>
          <w:rFonts w:ascii="黑体" w:eastAsia="黑体" w:hAnsi="黑体" w:cs="宋体" w:hint="eastAsia"/>
          <w:color w:val="000000"/>
          <w:kern w:val="0"/>
          <w:sz w:val="28"/>
          <w:szCs w:val="28"/>
        </w:rPr>
        <w:t>二</w:t>
      </w:r>
      <w:r w:rsidRPr="00CD1C7F">
        <w:rPr>
          <w:rFonts w:ascii="黑体" w:eastAsia="黑体" w:hAnsi="黑体" w:cs="宋体"/>
          <w:color w:val="000000"/>
          <w:kern w:val="0"/>
          <w:sz w:val="28"/>
          <w:szCs w:val="28"/>
        </w:rPr>
        <w:t>、</w:t>
      </w:r>
      <w:r w:rsidRPr="00CD1C7F">
        <w:rPr>
          <w:rFonts w:ascii="黑体" w:eastAsia="黑体" w:hAnsi="黑体" w:cs="宋体" w:hint="eastAsia"/>
          <w:color w:val="000000"/>
          <w:kern w:val="0"/>
          <w:sz w:val="28"/>
          <w:szCs w:val="28"/>
        </w:rPr>
        <w:t>一般</w:t>
      </w:r>
      <w:r w:rsidRPr="00CD1C7F">
        <w:rPr>
          <w:rFonts w:ascii="黑体" w:eastAsia="黑体" w:hAnsi="黑体" w:cs="宋体"/>
          <w:color w:val="000000"/>
          <w:kern w:val="0"/>
          <w:sz w:val="28"/>
          <w:szCs w:val="28"/>
        </w:rPr>
        <w:t>课题</w:t>
      </w:r>
    </w:p>
    <w:tbl>
      <w:tblPr>
        <w:tblStyle w:val="aa"/>
        <w:tblW w:w="9132" w:type="dxa"/>
        <w:jc w:val="center"/>
        <w:tblInd w:w="288" w:type="dxa"/>
        <w:tblLayout w:type="fixed"/>
        <w:tblLook w:val="04A0"/>
      </w:tblPr>
      <w:tblGrid>
        <w:gridCol w:w="1276"/>
        <w:gridCol w:w="2552"/>
        <w:gridCol w:w="992"/>
        <w:gridCol w:w="1276"/>
        <w:gridCol w:w="1136"/>
        <w:gridCol w:w="1900"/>
      </w:tblGrid>
      <w:tr w:rsidR="00CD1C7F" w:rsidRPr="00CD1C7F" w:rsidTr="001179CC">
        <w:trPr>
          <w:jc w:val="center"/>
        </w:trPr>
        <w:tc>
          <w:tcPr>
            <w:tcW w:w="1276" w:type="dxa"/>
            <w:vAlign w:val="center"/>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课题编号</w:t>
            </w:r>
          </w:p>
        </w:tc>
        <w:tc>
          <w:tcPr>
            <w:tcW w:w="2552" w:type="dxa"/>
            <w:vAlign w:val="center"/>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课题名称</w:t>
            </w:r>
          </w:p>
        </w:tc>
        <w:tc>
          <w:tcPr>
            <w:tcW w:w="992" w:type="dxa"/>
            <w:vAlign w:val="center"/>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负责人</w:t>
            </w:r>
          </w:p>
        </w:tc>
        <w:tc>
          <w:tcPr>
            <w:tcW w:w="1276" w:type="dxa"/>
            <w:vAlign w:val="center"/>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所在单位</w:t>
            </w:r>
          </w:p>
        </w:tc>
        <w:tc>
          <w:tcPr>
            <w:tcW w:w="1136" w:type="dxa"/>
            <w:vAlign w:val="center"/>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预期成果形式</w:t>
            </w:r>
          </w:p>
        </w:tc>
        <w:tc>
          <w:tcPr>
            <w:tcW w:w="1900" w:type="dxa"/>
            <w:vAlign w:val="center"/>
          </w:tcPr>
          <w:p w:rsidR="00CD1C7F" w:rsidRPr="00CD1C7F" w:rsidRDefault="00CD1C7F" w:rsidP="00CD1C7F">
            <w:pPr>
              <w:widowControl/>
              <w:spacing w:line="300" w:lineRule="exact"/>
              <w:jc w:val="center"/>
              <w:rPr>
                <w:rFonts w:ascii="仿宋" w:hAnsi="仿宋" w:cs="宋体"/>
                <w:b/>
                <w:bCs/>
                <w:kern w:val="0"/>
                <w:sz w:val="24"/>
              </w:rPr>
            </w:pPr>
            <w:r w:rsidRPr="00CD1C7F">
              <w:rPr>
                <w:rFonts w:ascii="仿宋" w:hAnsi="仿宋" w:cs="宋体" w:hint="eastAsia"/>
                <w:b/>
                <w:bCs/>
                <w:kern w:val="0"/>
                <w:sz w:val="24"/>
              </w:rPr>
              <w:t>基地</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2022JDKTYB01</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第三次分配推动共同富裕的体制机制与政策体系研究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江亚洲</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浙江大学民生保障与公共治理研究中心</w:t>
            </w:r>
            <w:r w:rsidRPr="00CD1C7F">
              <w:rPr>
                <w:rFonts w:ascii="仿宋" w:hAnsi="仿宋" w:cs="宋体" w:hint="eastAsia"/>
                <w:color w:val="000000"/>
                <w:kern w:val="0"/>
                <w:sz w:val="24"/>
              </w:rPr>
              <w:t xml:space="preserve">  </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2022JDKTYB02</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数字化背景下行业间收入差距研究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张家滋</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浙大宁波理工学院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浙江大学民生保障与公共治理研究中心</w:t>
            </w:r>
            <w:r w:rsidRPr="00CD1C7F">
              <w:rPr>
                <w:rFonts w:ascii="仿宋" w:hAnsi="仿宋" w:cs="宋体" w:hint="eastAsia"/>
                <w:color w:val="000000"/>
                <w:kern w:val="0"/>
                <w:sz w:val="24"/>
              </w:rPr>
              <w:t xml:space="preserve">  </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2022JDKTYB03</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共同富裕视角下浙江省学龄前儿童福利政策研究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李　骅</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湖州师范学院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浙江大学民生保障与公共治理研究中心</w:t>
            </w:r>
            <w:r w:rsidRPr="00CD1C7F">
              <w:rPr>
                <w:rFonts w:ascii="仿宋" w:hAnsi="仿宋" w:cs="宋体" w:hint="eastAsia"/>
                <w:color w:val="000000"/>
                <w:kern w:val="0"/>
                <w:sz w:val="24"/>
              </w:rPr>
              <w:t xml:space="preserve">  </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2022JDKTYB04</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宋代学田文献的整理研究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贾灿灿</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南通大学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浙江大学宋学研究中心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2022JDKTYB05</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经子互动视域下南宋浙学王霸之辨研究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陈佩辉</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浙江大学宋学研究中心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lastRenderedPageBreak/>
              <w:t>2022JDKTYB06</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宋夏历书比较研究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赵江红</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浙江大学宋学研究中心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2022JDKTYB07</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宋代司法实践中的论证研究——以《名公书判清明集》为考察</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汪　曼</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浙大城市学院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浙江大学宋学研究中心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2022JDKTYB08</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江南建筑史</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张新克</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嘉兴学院</w:t>
            </w:r>
          </w:p>
        </w:tc>
        <w:tc>
          <w:tcPr>
            <w:tcW w:w="1136" w:type="dxa"/>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专著、论文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浙江师范大学江南文化研究中心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2022JDKTYB09</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文脉主义视阈下江南传统村落的空间再造研究——以浙江为中心</w:t>
            </w:r>
            <w:r w:rsidRPr="00CD1C7F">
              <w:rPr>
                <w:rFonts w:ascii="仿宋" w:hAnsi="仿宋" w:cs="宋体" w:hint="eastAsia"/>
                <w:color w:val="000000"/>
                <w:kern w:val="0"/>
                <w:sz w:val="24"/>
              </w:rPr>
              <w:t xml:space="preserve"> </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申屠</w:t>
            </w:r>
          </w:p>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青松</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浙江师范大学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浙江师范大学江南文化研究中心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2022JDKTYB10</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数字人文视域下的畲族传统图案传承与创新研究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李小波</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浙江师范大学</w:t>
            </w:r>
          </w:p>
        </w:tc>
        <w:tc>
          <w:tcPr>
            <w:tcW w:w="1136" w:type="dxa"/>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专著、论文、电脑软件</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浙江师范大学江南文化研究中心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2022JDKTYB11</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中日佛教交流视域下的北磵居简及其周边文学僧研究</w:t>
            </w:r>
            <w:r w:rsidRPr="00CD1C7F">
              <w:rPr>
                <w:rFonts w:ascii="仿宋" w:hAnsi="仿宋" w:cs="宋体" w:hint="eastAsia"/>
                <w:color w:val="000000"/>
                <w:kern w:val="0"/>
                <w:sz w:val="24"/>
              </w:rPr>
              <w:t xml:space="preserve"> </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王宏芹</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台州学院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2022JDKTYB12</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古希腊哲学在近现代东亚地区的容受研究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陈郑双</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2022JDKTYB13</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明治以前日本传染病史研究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董　科</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2022JDKTYB14</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中日韩区域创新链协同治理战略研究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岑　杰</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2022JDKTYB15</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中日韩区域多边产业合作体系构建研究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项丽瑶</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浙江财经大学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浙江工商大学东亚研究院</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2022JDKTYB16</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大学生创造力的心理归因及其提升途径——基于行为与神经实验的研究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周　宇</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浙江财经大学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浙江财经大学经济行为与决策研究中心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2022JDKTYB17</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可持续脱贫助推机制研究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郑万军</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浙江财经大学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浙江财经大学经济行为与决策研究中心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2022JDKTYB18</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后疫情时代戏剧现场的创新路径与艺术策略研究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蒋　述</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温州大学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温州大学浙江传统戏曲研究与传承中心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2022JDKTYB19</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数字经济驱动长三角产业协同创新的机理和对策研究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薛天航</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研究</w:t>
            </w:r>
          </w:p>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报告</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浙江省区域经济开放与发展研究中心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2022JDKTYB20</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中小企业跨境电子商务采纳强度及对其经营绩效的影响研究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廖润东</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浙江机电职业技术学院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浙江省区域经济开放与发展研究中心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2022JDKTYB21</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全媒体时代宋韵文化传播的守正与创新</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徐　元</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中国美术学院</w:t>
            </w:r>
          </w:p>
        </w:tc>
        <w:tc>
          <w:tcPr>
            <w:tcW w:w="113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论文、研究报告</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中国美术学院艺术哲学与文化创新研究院</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lastRenderedPageBreak/>
              <w:t>2022JDKTYB22</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钱塘江诗路文化研究与山水影像创作</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唐晓林</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中国美术学院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中国美术学院艺术哲学与文化创新研究院</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2022JDKTYB23</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视觉的逻辑——视觉艺术中的推理形式</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黄华侨</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中国美术学院艺术哲学与文化创新研究院</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2022JDKTYB24</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浙东史学文化精神研究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高希中</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中国社会科学院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宁波大学浙东文化研究院</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2022JDKTYB25</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台湾“宁波帮”人士与浙东教育事业研究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丁志远</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宁波大学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宁波大学浙东文化研究院</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2022JDKTYB26</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基于体验价值的品牌箱包时尚设计研究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顾小燕</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浙江理工大学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浙江理工大学浙江省丝绸与时尚文化研究中心</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2022JDKTYB27</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可持续时尚评价指标体系构建研究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王鹏飞</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浙江理工大学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浙江理工大学浙江省丝绸与时尚文化研究中心</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2022JDKTYB28</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浙籍移民群体与台湾现代化转型研究（</w:t>
            </w:r>
            <w:r w:rsidRPr="00CD1C7F">
              <w:rPr>
                <w:rFonts w:ascii="仿宋" w:hAnsi="仿宋" w:cs="宋体" w:hint="eastAsia"/>
                <w:color w:val="000000"/>
                <w:kern w:val="0"/>
                <w:sz w:val="24"/>
              </w:rPr>
              <w:t>1945-1987</w:t>
            </w:r>
            <w:r w:rsidRPr="00CD1C7F">
              <w:rPr>
                <w:rFonts w:ascii="仿宋" w:hAnsi="仿宋" w:cs="宋体" w:hint="eastAsia"/>
                <w:color w:val="000000"/>
                <w:kern w:val="0"/>
                <w:sz w:val="24"/>
              </w:rPr>
              <w:t>）</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李栅栅</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浙大城市学院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浙江省委党校文化发展创新与文化浙江建设研究中心</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2022JDKTYB29</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文化认同筑牢中华民族共同体意识研究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罗智芸</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中共浙江省委党校</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浙江省委党校文化发展创新与文化浙江建设研究中心</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2022JDKTYB30</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女大学生就业创业协同育人机制研究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黄蕾蕾</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温州医科大学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温州医科大学中国创新创业教育研究院</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2022JDKTYB31</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职业院校创新创业教育培养体系构建研究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张</w:t>
            </w:r>
            <w:r w:rsidRPr="00CD1C7F">
              <w:rPr>
                <w:rFonts w:ascii="仿宋" w:hAnsi="仿宋" w:cs="宋体" w:hint="eastAsia"/>
                <w:color w:val="000000"/>
                <w:kern w:val="0"/>
                <w:sz w:val="24"/>
              </w:rPr>
              <w:t xml:space="preserve">  </w:t>
            </w:r>
            <w:r w:rsidRPr="00CD1C7F">
              <w:rPr>
                <w:rFonts w:ascii="仿宋" w:hAnsi="仿宋" w:cs="宋体" w:hint="eastAsia"/>
                <w:color w:val="000000"/>
                <w:kern w:val="0"/>
                <w:sz w:val="24"/>
              </w:rPr>
              <w:t>伶</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温州医科大学中国创新创业教育研究院</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2022JDKTYB32</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中国科幻小说技术诗学问题研究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詹　玲</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杭州师范大学文艺批评研究院</w:t>
            </w:r>
            <w:r w:rsidRPr="00CD1C7F">
              <w:rPr>
                <w:rFonts w:ascii="仿宋" w:hAnsi="仿宋" w:cs="宋体" w:hint="eastAsia"/>
                <w:color w:val="000000"/>
                <w:kern w:val="0"/>
                <w:sz w:val="24"/>
              </w:rPr>
              <w:t xml:space="preserve">  </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2022JDKTYB33</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阳明心学视域下的明代《诗经》学嬗变研究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崔　冶</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绍兴文理学院</w:t>
            </w:r>
          </w:p>
        </w:tc>
        <w:tc>
          <w:tcPr>
            <w:tcW w:w="113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w:t>
            </w:r>
          </w:p>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绍兴文理学院浙江省越文化传承与创新研究中心</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2022JDKTYB34</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梁柏台法制思想研究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田　野</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绍兴文理学院元培学院</w:t>
            </w:r>
          </w:p>
        </w:tc>
        <w:tc>
          <w:tcPr>
            <w:tcW w:w="113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专著、</w:t>
            </w:r>
          </w:p>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绍兴文理学院浙江省越文化传承与创新研究中心</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2022JDKTYB35</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中共早期平民教育活动与政治动员（</w:t>
            </w:r>
            <w:r w:rsidRPr="00CD1C7F">
              <w:rPr>
                <w:rFonts w:ascii="仿宋" w:hAnsi="仿宋" w:cs="宋体" w:hint="eastAsia"/>
                <w:color w:val="000000"/>
                <w:kern w:val="0"/>
                <w:sz w:val="24"/>
              </w:rPr>
              <w:t>1920-1927</w:t>
            </w:r>
            <w:r w:rsidRPr="00CD1C7F">
              <w:rPr>
                <w:rFonts w:ascii="仿宋" w:hAnsi="仿宋" w:cs="宋体" w:hint="eastAsia"/>
                <w:color w:val="000000"/>
                <w:kern w:val="0"/>
                <w:sz w:val="24"/>
              </w:rPr>
              <w:t>）</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郑志强</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嘉兴学院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嘉兴学院浙江省中国共产党创建史研究中心</w:t>
            </w:r>
          </w:p>
        </w:tc>
      </w:tr>
      <w:tr w:rsidR="00CD1C7F" w:rsidRPr="00CD1C7F" w:rsidTr="001179CC">
        <w:trPr>
          <w:trHeight w:val="737"/>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lastRenderedPageBreak/>
              <w:t>2022JDKTYB36</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马克思主义民族理论早期传播与中国化研究（</w:t>
            </w:r>
            <w:r w:rsidRPr="00CD1C7F">
              <w:rPr>
                <w:rFonts w:ascii="仿宋" w:hAnsi="仿宋" w:cs="宋体" w:hint="eastAsia"/>
                <w:color w:val="000000"/>
                <w:kern w:val="0"/>
                <w:sz w:val="24"/>
              </w:rPr>
              <w:t>1919</w:t>
            </w:r>
            <w:r w:rsidRPr="00CD1C7F">
              <w:rPr>
                <w:rFonts w:ascii="仿宋" w:hAnsi="仿宋" w:cs="宋体" w:hint="eastAsia"/>
                <w:color w:val="000000"/>
                <w:kern w:val="0"/>
                <w:sz w:val="24"/>
              </w:rPr>
              <w:t>～</w:t>
            </w:r>
            <w:r w:rsidRPr="00CD1C7F">
              <w:rPr>
                <w:rFonts w:ascii="仿宋" w:hAnsi="仿宋" w:cs="宋体" w:hint="eastAsia"/>
                <w:color w:val="000000"/>
                <w:kern w:val="0"/>
                <w:sz w:val="24"/>
              </w:rPr>
              <w:t>1927</w:t>
            </w:r>
            <w:r w:rsidRPr="00CD1C7F">
              <w:rPr>
                <w:rFonts w:ascii="仿宋" w:hAnsi="仿宋" w:cs="宋体" w:hint="eastAsia"/>
                <w:color w:val="000000"/>
                <w:kern w:val="0"/>
                <w:sz w:val="24"/>
              </w:rPr>
              <w:t>）</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陈　辉</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中央民族干部学院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嘉兴学院浙江省中国共产党创建史研究中心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2022JDKTYB37</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共同富裕示范区视域下数字教育公共服务体系构建研究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胡丽娟</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浙江省社会科学院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浙江省中国特色社会主义理论研究中心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2022JDKTYB38</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浙江政府数字化治理的历史唯物主义研究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韩艳芳</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浙江工商大学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浙江省中国特色社会主义理论研究中心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2022JDKTYB39</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浙江省大学生思政教育效能提升研究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田俊杰</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浙江外国语学院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浙江省中国特色社会主义理论研究中心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2022JDKTYB40</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国共关系视野下浙东抗日根据地研究（</w:t>
            </w:r>
            <w:r w:rsidRPr="00CD1C7F">
              <w:rPr>
                <w:rFonts w:ascii="仿宋" w:hAnsi="仿宋" w:cs="宋体" w:hint="eastAsia"/>
                <w:color w:val="000000"/>
                <w:kern w:val="0"/>
                <w:sz w:val="24"/>
              </w:rPr>
              <w:t>1941-1945</w:t>
            </w:r>
            <w:r w:rsidRPr="00CD1C7F">
              <w:rPr>
                <w:rFonts w:ascii="仿宋" w:hAnsi="仿宋" w:cs="宋体" w:hint="eastAsia"/>
                <w:color w:val="000000"/>
                <w:kern w:val="0"/>
                <w:sz w:val="24"/>
              </w:rPr>
              <w:t>）</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姜建忠</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杭州师范大学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浙江省民国浙江史研究中心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2022JDKTYB41</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基于跨境电商—临港物流二元生态的智慧服务能力前因组态及优化策略</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姜卫韬</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浙大宁波理工学院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宁波海上丝绸之路研究院</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2022JDKTYB42</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混剪短视频对红色文化的再塑造及价值认同研究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张玲玲</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浙江传媒学院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专著</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浙江省传播与文化产业研究中心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2022JDKTYB43</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浙江省虚拟养老服务体系构建路径与高质量发展对策研究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夏向阳</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浙大宁波理工学院</w:t>
            </w:r>
          </w:p>
        </w:tc>
        <w:tc>
          <w:tcPr>
            <w:tcW w:w="1136" w:type="dxa"/>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论文、研究报告</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浙江省现代服务业研究中心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2022JDKTYB44</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浙江省生态安全建设对策研究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张璇孟</w:t>
            </w:r>
          </w:p>
        </w:tc>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浙江省生态文明干部学院（中共湖州市委党校）</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咨政</w:t>
            </w:r>
          </w:p>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建言</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浙江理工大学浙江省生态文明研究院</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2022JDKTYB45</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温州华侨经济双向驱动机制问题研究——基于事功学说视角</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金庆伟</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浙江广播电视大学瑞安学院</w:t>
            </w:r>
          </w:p>
        </w:tc>
        <w:tc>
          <w:tcPr>
            <w:tcW w:w="1136" w:type="dxa"/>
            <w:vAlign w:val="center"/>
            <w:hideMark/>
          </w:tcPr>
          <w:p w:rsidR="00CD1C7F" w:rsidRPr="00CD1C7F" w:rsidRDefault="00CD1C7F" w:rsidP="00CD1C7F">
            <w:pPr>
              <w:widowControl/>
              <w:spacing w:line="300" w:lineRule="exact"/>
              <w:jc w:val="left"/>
              <w:rPr>
                <w:rFonts w:ascii="仿宋" w:hAnsi="仿宋" w:cs="宋体"/>
                <w:color w:val="000000"/>
                <w:kern w:val="0"/>
                <w:sz w:val="24"/>
              </w:rPr>
            </w:pPr>
            <w:r w:rsidRPr="00CD1C7F">
              <w:rPr>
                <w:rFonts w:ascii="仿宋" w:hAnsi="仿宋" w:cs="宋体" w:hint="eastAsia"/>
                <w:color w:val="000000"/>
                <w:kern w:val="0"/>
                <w:sz w:val="24"/>
              </w:rPr>
              <w:t>论文、研究报告</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浙江省温州人经济研究中心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2022JDKTYB46</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高职院校混合所有制产业学院协同治理研究</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朱乐平</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苏州大学</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浙江省现代职业教育研究中心</w:t>
            </w:r>
          </w:p>
        </w:tc>
      </w:tr>
      <w:tr w:rsidR="00CD1C7F" w:rsidRPr="00CD1C7F" w:rsidTr="001179CC">
        <w:trPr>
          <w:trHeight w:val="283"/>
          <w:jc w:val="center"/>
        </w:trPr>
        <w:tc>
          <w:tcPr>
            <w:tcW w:w="1276"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2022JDKTYB47</w:t>
            </w:r>
          </w:p>
        </w:tc>
        <w:tc>
          <w:tcPr>
            <w:tcW w:w="2552"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共同富裕发展格局下浙江省低技能劳动者技能提升实施路径</w:t>
            </w:r>
          </w:p>
        </w:tc>
        <w:tc>
          <w:tcPr>
            <w:tcW w:w="992" w:type="dxa"/>
            <w:noWrap/>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韦</w:t>
            </w:r>
            <w:r w:rsidRPr="00CD1C7F">
              <w:rPr>
                <w:rFonts w:ascii="仿宋" w:hAnsi="仿宋" w:cs="宋体" w:hint="eastAsia"/>
                <w:color w:val="000000"/>
                <w:kern w:val="0"/>
                <w:sz w:val="24"/>
              </w:rPr>
              <w:t xml:space="preserve">  </w:t>
            </w:r>
            <w:r w:rsidRPr="00CD1C7F">
              <w:rPr>
                <w:rFonts w:ascii="仿宋" w:hAnsi="仿宋" w:cs="宋体" w:hint="eastAsia"/>
                <w:color w:val="000000"/>
                <w:kern w:val="0"/>
                <w:sz w:val="24"/>
              </w:rPr>
              <w:t>清</w:t>
            </w:r>
          </w:p>
        </w:tc>
        <w:tc>
          <w:tcPr>
            <w:tcW w:w="1276" w:type="dxa"/>
            <w:noWrap/>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金华职业技术学院</w:t>
            </w:r>
          </w:p>
        </w:tc>
        <w:tc>
          <w:tcPr>
            <w:tcW w:w="1136" w:type="dxa"/>
            <w:vAlign w:val="center"/>
            <w:hideMark/>
          </w:tcPr>
          <w:p w:rsidR="00CD1C7F" w:rsidRPr="00CD1C7F" w:rsidRDefault="00CD1C7F" w:rsidP="00CD1C7F">
            <w:pPr>
              <w:widowControl/>
              <w:spacing w:line="300" w:lineRule="exact"/>
              <w:jc w:val="center"/>
              <w:rPr>
                <w:rFonts w:ascii="仿宋" w:hAnsi="仿宋" w:cs="宋体"/>
                <w:color w:val="000000"/>
                <w:kern w:val="0"/>
                <w:sz w:val="24"/>
              </w:rPr>
            </w:pPr>
            <w:r w:rsidRPr="00CD1C7F">
              <w:rPr>
                <w:rFonts w:ascii="仿宋" w:hAnsi="仿宋" w:cs="宋体" w:hint="eastAsia"/>
                <w:color w:val="000000"/>
                <w:kern w:val="0"/>
                <w:sz w:val="24"/>
              </w:rPr>
              <w:t>论文</w:t>
            </w:r>
          </w:p>
        </w:tc>
        <w:tc>
          <w:tcPr>
            <w:tcW w:w="1900" w:type="dxa"/>
            <w:vAlign w:val="center"/>
            <w:hideMark/>
          </w:tcPr>
          <w:p w:rsidR="00CD1C7F" w:rsidRPr="00CD1C7F" w:rsidRDefault="00CD1C7F" w:rsidP="00CD1C7F">
            <w:pPr>
              <w:widowControl/>
              <w:spacing w:line="300" w:lineRule="exact"/>
              <w:rPr>
                <w:rFonts w:ascii="仿宋" w:hAnsi="仿宋" w:cs="宋体"/>
                <w:color w:val="000000"/>
                <w:kern w:val="0"/>
                <w:sz w:val="24"/>
              </w:rPr>
            </w:pPr>
            <w:r w:rsidRPr="00CD1C7F">
              <w:rPr>
                <w:rFonts w:ascii="仿宋" w:hAnsi="仿宋" w:cs="宋体" w:hint="eastAsia"/>
                <w:color w:val="000000"/>
                <w:kern w:val="0"/>
                <w:sz w:val="24"/>
              </w:rPr>
              <w:t>浙江省现代职业教育研究中心</w:t>
            </w:r>
          </w:p>
        </w:tc>
      </w:tr>
    </w:tbl>
    <w:p w:rsidR="00CD1C7F" w:rsidRPr="00CD1C7F" w:rsidRDefault="00CD1C7F" w:rsidP="00CD1C7F">
      <w:pPr>
        <w:widowControl/>
        <w:adjustRightInd w:val="0"/>
        <w:snapToGrid w:val="0"/>
        <w:spacing w:line="270" w:lineRule="atLeast"/>
        <w:jc w:val="center"/>
        <w:rPr>
          <w:rFonts w:ascii="仿宋_GB2312" w:eastAsia="仿宋_GB2312" w:hAnsi="华文中宋"/>
          <w:szCs w:val="32"/>
        </w:rPr>
      </w:pPr>
    </w:p>
    <w:p w:rsidR="00CD1C7F" w:rsidRPr="00CD1C7F" w:rsidRDefault="00CD1C7F" w:rsidP="00CD1C7F">
      <w:pPr>
        <w:widowControl/>
        <w:adjustRightInd w:val="0"/>
        <w:snapToGrid w:val="0"/>
        <w:spacing w:line="270" w:lineRule="atLeast"/>
        <w:jc w:val="center"/>
        <w:rPr>
          <w:rFonts w:ascii="仿宋_GB2312" w:eastAsia="仿宋_GB2312" w:hAnsi="华文中宋"/>
          <w:szCs w:val="32"/>
        </w:rPr>
      </w:pPr>
    </w:p>
    <w:p w:rsidR="00E2298D" w:rsidRPr="00CD1C7F" w:rsidRDefault="00E2298D" w:rsidP="00CD1C7F">
      <w:pPr>
        <w:rPr>
          <w:szCs w:val="28"/>
        </w:rPr>
      </w:pPr>
    </w:p>
    <w:sectPr w:rsidR="00E2298D" w:rsidRPr="00CD1C7F" w:rsidSect="00B4692B">
      <w:footerReference w:type="even" r:id="rId8"/>
      <w:footerReference w:type="default" r:id="rId9"/>
      <w:pgSz w:w="11906" w:h="16838" w:code="9"/>
      <w:pgMar w:top="2098" w:right="1474" w:bottom="1588" w:left="1588" w:header="851" w:footer="1191" w:gutter="0"/>
      <w:cols w:space="720"/>
      <w:docGrid w:type="linesAndChars" w:linePitch="600"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DA" w:rsidRDefault="00AD76DA" w:rsidP="00042B94">
      <w:r>
        <w:separator/>
      </w:r>
    </w:p>
  </w:endnote>
  <w:endnote w:type="continuationSeparator" w:id="1">
    <w:p w:rsidR="00AD76DA" w:rsidRDefault="00AD76DA" w:rsidP="0004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B6" w:rsidRPr="00AC74B6" w:rsidRDefault="00AC74B6" w:rsidP="00AC74B6">
    <w:pPr>
      <w:pStyle w:val="a5"/>
      <w:ind w:right="360" w:firstLineChars="100" w:firstLine="280"/>
      <w:rPr>
        <w:rFonts w:ascii="宋体" w:hAnsi="宋体"/>
        <w:sz w:val="28"/>
        <w:szCs w:val="28"/>
      </w:rPr>
    </w:pPr>
    <w:r w:rsidRPr="00AC74B6">
      <w:rPr>
        <w:rFonts w:ascii="宋体" w:hAnsi="宋体" w:hint="eastAsia"/>
        <w:sz w:val="28"/>
        <w:szCs w:val="28"/>
      </w:rPr>
      <w:t>－</w:t>
    </w:r>
    <w:r w:rsidR="00B95BF9" w:rsidRPr="00AC74B6">
      <w:rPr>
        <w:rFonts w:ascii="宋体" w:hAnsi="宋体"/>
        <w:sz w:val="28"/>
        <w:szCs w:val="28"/>
      </w:rPr>
      <w:fldChar w:fldCharType="begin"/>
    </w:r>
    <w:r w:rsidRPr="00AC74B6">
      <w:rPr>
        <w:rFonts w:ascii="宋体" w:hAnsi="宋体"/>
        <w:sz w:val="28"/>
        <w:szCs w:val="28"/>
      </w:rPr>
      <w:instrText>PAGE   \* MERGEFORMAT</w:instrText>
    </w:r>
    <w:r w:rsidR="00B95BF9" w:rsidRPr="00AC74B6">
      <w:rPr>
        <w:rFonts w:ascii="宋体" w:hAnsi="宋体"/>
        <w:sz w:val="28"/>
        <w:szCs w:val="28"/>
      </w:rPr>
      <w:fldChar w:fldCharType="separate"/>
    </w:r>
    <w:r w:rsidR="00CD1C7F" w:rsidRPr="00CD1C7F">
      <w:rPr>
        <w:rFonts w:ascii="宋体" w:hAnsi="宋体"/>
        <w:noProof/>
        <w:sz w:val="28"/>
        <w:szCs w:val="28"/>
        <w:lang w:val="zh-CN"/>
      </w:rPr>
      <w:t>2</w:t>
    </w:r>
    <w:r w:rsidR="00B95BF9" w:rsidRPr="00AC74B6">
      <w:rPr>
        <w:rFonts w:ascii="宋体" w:hAnsi="宋体"/>
        <w:sz w:val="28"/>
        <w:szCs w:val="28"/>
      </w:rPr>
      <w:fldChar w:fldCharType="end"/>
    </w:r>
    <w:r w:rsidRPr="00AC74B6">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38" w:rsidRPr="00AC74B6" w:rsidRDefault="00AC74B6" w:rsidP="00AC74B6">
    <w:pPr>
      <w:pStyle w:val="a5"/>
      <w:ind w:right="360" w:firstLineChars="100" w:firstLine="280"/>
      <w:jc w:val="right"/>
      <w:rPr>
        <w:rFonts w:ascii="宋体" w:hAnsi="宋体"/>
        <w:sz w:val="28"/>
        <w:szCs w:val="28"/>
      </w:rPr>
    </w:pPr>
    <w:r w:rsidRPr="00AC74B6">
      <w:rPr>
        <w:rFonts w:ascii="宋体" w:hAnsi="宋体" w:hint="eastAsia"/>
        <w:sz w:val="28"/>
        <w:szCs w:val="28"/>
      </w:rPr>
      <w:t>－</w:t>
    </w:r>
    <w:r w:rsidR="00B95BF9" w:rsidRPr="00AC74B6">
      <w:rPr>
        <w:rFonts w:ascii="宋体" w:hAnsi="宋体"/>
        <w:sz w:val="28"/>
        <w:szCs w:val="28"/>
      </w:rPr>
      <w:fldChar w:fldCharType="begin"/>
    </w:r>
    <w:r w:rsidRPr="00AC74B6">
      <w:rPr>
        <w:rFonts w:ascii="宋体" w:hAnsi="宋体"/>
        <w:sz w:val="28"/>
        <w:szCs w:val="28"/>
      </w:rPr>
      <w:instrText>PAGE   \* MERGEFORMAT</w:instrText>
    </w:r>
    <w:r w:rsidR="00B95BF9" w:rsidRPr="00AC74B6">
      <w:rPr>
        <w:rFonts w:ascii="宋体" w:hAnsi="宋体"/>
        <w:sz w:val="28"/>
        <w:szCs w:val="28"/>
      </w:rPr>
      <w:fldChar w:fldCharType="separate"/>
    </w:r>
    <w:r w:rsidR="00CD1C7F" w:rsidRPr="00CD1C7F">
      <w:rPr>
        <w:rFonts w:ascii="宋体" w:hAnsi="宋体"/>
        <w:noProof/>
        <w:sz w:val="28"/>
        <w:szCs w:val="28"/>
        <w:lang w:val="zh-CN"/>
      </w:rPr>
      <w:t>1</w:t>
    </w:r>
    <w:r w:rsidR="00B95BF9" w:rsidRPr="00AC74B6">
      <w:rPr>
        <w:rFonts w:ascii="宋体" w:hAnsi="宋体"/>
        <w:sz w:val="28"/>
        <w:szCs w:val="28"/>
      </w:rPr>
      <w:fldChar w:fldCharType="end"/>
    </w:r>
    <w:r w:rsidRPr="00AC74B6">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DA" w:rsidRDefault="00AD76DA" w:rsidP="00042B94">
      <w:r>
        <w:separator/>
      </w:r>
    </w:p>
  </w:footnote>
  <w:footnote w:type="continuationSeparator" w:id="1">
    <w:p w:rsidR="00AD76DA" w:rsidRDefault="00AD76DA" w:rsidP="00042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52BB7"/>
    <w:multiLevelType w:val="hybridMultilevel"/>
    <w:tmpl w:val="6B40CCB2"/>
    <w:lvl w:ilvl="0" w:tplc="8A6CC1F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01"/>
  <w:drawingGridVerticalSpacing w:val="300"/>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98D"/>
    <w:rsid w:val="00042B94"/>
    <w:rsid w:val="00097C4A"/>
    <w:rsid w:val="000A1D8A"/>
    <w:rsid w:val="000A417F"/>
    <w:rsid w:val="000B02DF"/>
    <w:rsid w:val="000E3852"/>
    <w:rsid w:val="00140E5C"/>
    <w:rsid w:val="00150BB2"/>
    <w:rsid w:val="00162EB1"/>
    <w:rsid w:val="001702DF"/>
    <w:rsid w:val="001B635A"/>
    <w:rsid w:val="001B6901"/>
    <w:rsid w:val="001B7A79"/>
    <w:rsid w:val="001C1DDF"/>
    <w:rsid w:val="001C33AF"/>
    <w:rsid w:val="001D4DD7"/>
    <w:rsid w:val="001D5D29"/>
    <w:rsid w:val="001E5967"/>
    <w:rsid w:val="002D2994"/>
    <w:rsid w:val="002E19BF"/>
    <w:rsid w:val="002F00E0"/>
    <w:rsid w:val="002F1640"/>
    <w:rsid w:val="002F3562"/>
    <w:rsid w:val="002F587D"/>
    <w:rsid w:val="00300F2E"/>
    <w:rsid w:val="00340538"/>
    <w:rsid w:val="003468BC"/>
    <w:rsid w:val="00381733"/>
    <w:rsid w:val="00382317"/>
    <w:rsid w:val="003908C0"/>
    <w:rsid w:val="00394C03"/>
    <w:rsid w:val="003A631B"/>
    <w:rsid w:val="003C541E"/>
    <w:rsid w:val="003C7590"/>
    <w:rsid w:val="003D1E2D"/>
    <w:rsid w:val="003E4BB6"/>
    <w:rsid w:val="003F77D7"/>
    <w:rsid w:val="00412A9A"/>
    <w:rsid w:val="005173AD"/>
    <w:rsid w:val="00532665"/>
    <w:rsid w:val="00570A98"/>
    <w:rsid w:val="00594A16"/>
    <w:rsid w:val="005A2ADA"/>
    <w:rsid w:val="005E6231"/>
    <w:rsid w:val="00602945"/>
    <w:rsid w:val="0061320F"/>
    <w:rsid w:val="00615661"/>
    <w:rsid w:val="006A4D93"/>
    <w:rsid w:val="006C4A94"/>
    <w:rsid w:val="006D7ED9"/>
    <w:rsid w:val="006E3FED"/>
    <w:rsid w:val="006E7503"/>
    <w:rsid w:val="006E7EC7"/>
    <w:rsid w:val="00721C69"/>
    <w:rsid w:val="0077033A"/>
    <w:rsid w:val="00784494"/>
    <w:rsid w:val="007A3036"/>
    <w:rsid w:val="007C2DFF"/>
    <w:rsid w:val="007E1486"/>
    <w:rsid w:val="007E71E7"/>
    <w:rsid w:val="007F3BFB"/>
    <w:rsid w:val="008006D2"/>
    <w:rsid w:val="00817DC2"/>
    <w:rsid w:val="008378C0"/>
    <w:rsid w:val="008A713F"/>
    <w:rsid w:val="00932667"/>
    <w:rsid w:val="00984FC0"/>
    <w:rsid w:val="009858AF"/>
    <w:rsid w:val="009A093F"/>
    <w:rsid w:val="009A18CC"/>
    <w:rsid w:val="009A1EB6"/>
    <w:rsid w:val="009D1473"/>
    <w:rsid w:val="00A155C6"/>
    <w:rsid w:val="00AC74B6"/>
    <w:rsid w:val="00AD687A"/>
    <w:rsid w:val="00AD76DA"/>
    <w:rsid w:val="00AF7BEE"/>
    <w:rsid w:val="00B302BD"/>
    <w:rsid w:val="00B4692B"/>
    <w:rsid w:val="00B62FCC"/>
    <w:rsid w:val="00B650CF"/>
    <w:rsid w:val="00B87CCC"/>
    <w:rsid w:val="00B95BF9"/>
    <w:rsid w:val="00BC7FC2"/>
    <w:rsid w:val="00C41FF1"/>
    <w:rsid w:val="00C47A9F"/>
    <w:rsid w:val="00C57F9F"/>
    <w:rsid w:val="00CC7E46"/>
    <w:rsid w:val="00CD1C7F"/>
    <w:rsid w:val="00CF0EC8"/>
    <w:rsid w:val="00D2389D"/>
    <w:rsid w:val="00D40611"/>
    <w:rsid w:val="00D536A7"/>
    <w:rsid w:val="00D8594E"/>
    <w:rsid w:val="00D85E88"/>
    <w:rsid w:val="00D86CCC"/>
    <w:rsid w:val="00D870AA"/>
    <w:rsid w:val="00E07FB2"/>
    <w:rsid w:val="00E2298D"/>
    <w:rsid w:val="00E67393"/>
    <w:rsid w:val="00E843B0"/>
    <w:rsid w:val="00EA5BFC"/>
    <w:rsid w:val="00EB1FE0"/>
    <w:rsid w:val="00EC3DC3"/>
    <w:rsid w:val="00F2574D"/>
    <w:rsid w:val="00F260C4"/>
    <w:rsid w:val="00F36E06"/>
    <w:rsid w:val="00F47A69"/>
    <w:rsid w:val="00F517A6"/>
    <w:rsid w:val="00F95A1D"/>
    <w:rsid w:val="00FB00D0"/>
    <w:rsid w:val="00FC0CE3"/>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9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5E88"/>
    <w:pPr>
      <w:widowControl/>
      <w:spacing w:before="100" w:beforeAutospacing="1" w:after="100" w:afterAutospacing="1"/>
      <w:jc w:val="left"/>
    </w:pPr>
    <w:rPr>
      <w:rFonts w:ascii="仿宋" w:hAnsi="宋体" w:cs="宋体"/>
      <w:kern w:val="0"/>
    </w:rPr>
  </w:style>
  <w:style w:type="paragraph" w:styleId="a4">
    <w:name w:val="header"/>
    <w:basedOn w:val="a"/>
    <w:link w:val="Char"/>
    <w:rsid w:val="00042B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42B94"/>
    <w:rPr>
      <w:kern w:val="2"/>
      <w:sz w:val="18"/>
      <w:szCs w:val="18"/>
    </w:rPr>
  </w:style>
  <w:style w:type="paragraph" w:styleId="a5">
    <w:name w:val="footer"/>
    <w:basedOn w:val="a"/>
    <w:link w:val="Char0"/>
    <w:uiPriority w:val="99"/>
    <w:rsid w:val="00042B94"/>
    <w:pPr>
      <w:tabs>
        <w:tab w:val="center" w:pos="4153"/>
        <w:tab w:val="right" w:pos="8306"/>
      </w:tabs>
      <w:snapToGrid w:val="0"/>
      <w:jc w:val="left"/>
    </w:pPr>
    <w:rPr>
      <w:sz w:val="18"/>
      <w:szCs w:val="18"/>
    </w:rPr>
  </w:style>
  <w:style w:type="character" w:customStyle="1" w:styleId="Char0">
    <w:name w:val="页脚 Char"/>
    <w:link w:val="a5"/>
    <w:uiPriority w:val="99"/>
    <w:rsid w:val="00042B94"/>
    <w:rPr>
      <w:kern w:val="2"/>
      <w:sz w:val="18"/>
      <w:szCs w:val="18"/>
    </w:rPr>
  </w:style>
  <w:style w:type="paragraph" w:styleId="a6">
    <w:name w:val="Balloon Text"/>
    <w:basedOn w:val="a"/>
    <w:link w:val="Char1"/>
    <w:rsid w:val="00042B94"/>
    <w:rPr>
      <w:sz w:val="18"/>
      <w:szCs w:val="18"/>
    </w:rPr>
  </w:style>
  <w:style w:type="character" w:customStyle="1" w:styleId="Char1">
    <w:name w:val="批注框文本 Char"/>
    <w:link w:val="a6"/>
    <w:rsid w:val="00042B94"/>
    <w:rPr>
      <w:kern w:val="2"/>
      <w:sz w:val="18"/>
      <w:szCs w:val="18"/>
    </w:rPr>
  </w:style>
  <w:style w:type="paragraph" w:styleId="a7">
    <w:name w:val="List Paragraph"/>
    <w:basedOn w:val="a"/>
    <w:uiPriority w:val="34"/>
    <w:qFormat/>
    <w:rsid w:val="000B02DF"/>
    <w:pPr>
      <w:ind w:firstLineChars="200" w:firstLine="420"/>
    </w:pPr>
    <w:rPr>
      <w:rFonts w:ascii="Calibri" w:hAnsi="Calibri"/>
      <w:szCs w:val="22"/>
    </w:rPr>
  </w:style>
  <w:style w:type="paragraph" w:customStyle="1" w:styleId="1">
    <w:name w:val="样式 样式1 + 红色"/>
    <w:basedOn w:val="a"/>
    <w:rsid w:val="00E2298D"/>
    <w:pPr>
      <w:keepNext/>
      <w:keepLines/>
      <w:spacing w:before="340" w:after="330" w:line="578" w:lineRule="auto"/>
      <w:jc w:val="center"/>
      <w:outlineLvl w:val="0"/>
    </w:pPr>
    <w:rPr>
      <w:rFonts w:eastAsia="黑体"/>
      <w:b/>
      <w:bCs/>
      <w:color w:val="FF0000"/>
      <w:kern w:val="44"/>
      <w:sz w:val="32"/>
      <w:szCs w:val="44"/>
    </w:rPr>
  </w:style>
  <w:style w:type="character" w:styleId="a8">
    <w:name w:val="Hyperlink"/>
    <w:uiPriority w:val="99"/>
    <w:rsid w:val="00E2298D"/>
    <w:rPr>
      <w:color w:val="0000FF"/>
      <w:u w:val="single"/>
    </w:rPr>
  </w:style>
  <w:style w:type="paragraph" w:styleId="a9">
    <w:name w:val="Date"/>
    <w:basedOn w:val="a"/>
    <w:next w:val="a"/>
    <w:link w:val="Char2"/>
    <w:rsid w:val="00E2298D"/>
    <w:pPr>
      <w:ind w:leftChars="2500" w:left="100"/>
    </w:pPr>
  </w:style>
  <w:style w:type="character" w:customStyle="1" w:styleId="Char2">
    <w:name w:val="日期 Char"/>
    <w:link w:val="a9"/>
    <w:rsid w:val="00E2298D"/>
    <w:rPr>
      <w:kern w:val="2"/>
      <w:sz w:val="21"/>
      <w:szCs w:val="24"/>
    </w:rPr>
  </w:style>
  <w:style w:type="table" w:styleId="aa">
    <w:name w:val="Table Grid"/>
    <w:basedOn w:val="a1"/>
    <w:qFormat/>
    <w:rsid w:val="00E2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处理的提及"/>
    <w:uiPriority w:val="99"/>
    <w:semiHidden/>
    <w:unhideWhenUsed/>
    <w:rsid w:val="00E229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A2D1-9ACA-48A0-828B-8D038F9F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2022年度浙江省哲学社会科学重点研究基地课题立项名单</Template>
  <TotalTime>1</TotalTime>
  <Pages>7</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Links>
    <vt:vector size="6" baseType="variant">
      <vt:variant>
        <vt:i4>983079</vt:i4>
      </vt:variant>
      <vt:variant>
        <vt:i4>0</vt:i4>
      </vt:variant>
      <vt:variant>
        <vt:i4>0</vt:i4>
      </vt:variant>
      <vt:variant>
        <vt:i4>5</vt:i4>
      </vt:variant>
      <vt:variant>
        <vt:lpwstr>mailto:zjssklghb@vip.163.com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admin</dc:creator>
  <cp:lastModifiedBy>lenovo</cp:lastModifiedBy>
  <cp:revision>2</cp:revision>
  <cp:lastPrinted>2020-11-19T07:46:00Z</cp:lastPrinted>
  <dcterms:created xsi:type="dcterms:W3CDTF">2022-06-24T06:28:00Z</dcterms:created>
  <dcterms:modified xsi:type="dcterms:W3CDTF">2022-06-24T06:28:00Z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